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779519F6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01022E">
        <w:rPr>
          <w:b/>
          <w:sz w:val="32"/>
          <w:szCs w:val="32"/>
        </w:rPr>
        <w:t>UNIVERSAL UT431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3A2C80E3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</w:t>
      </w:r>
      <w:r w:rsidR="0001022E">
        <w:rPr>
          <w:sz w:val="24"/>
          <w:szCs w:val="24"/>
        </w:rPr>
        <w:t>1880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1E9E208E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>0,</w:t>
      </w:r>
      <w:proofErr w:type="gramStart"/>
      <w:r w:rsidR="0001022E">
        <w:t xml:space="preserve">75 </w:t>
      </w:r>
      <w:r w:rsidRPr="00CD0357">
        <w:t xml:space="preserve"> mm</w:t>
      </w:r>
      <w:proofErr w:type="gramEnd"/>
      <w:r w:rsidRPr="00CD0357">
        <w:t>, 1 Sicherungszapfen</w:t>
      </w:r>
    </w:p>
    <w:p w14:paraId="71BC8EA9" w14:textId="77777777" w:rsidR="00733CB7" w:rsidRPr="00CD0357" w:rsidRDefault="00733CB7" w:rsidP="00733CB7">
      <w:pPr>
        <w:spacing w:after="0"/>
      </w:pPr>
      <w:r w:rsidRPr="00CD0357">
        <w:t xml:space="preserve">3-seitiger </w:t>
      </w:r>
      <w:proofErr w:type="spellStart"/>
      <w:r w:rsidRPr="00CD0357">
        <w:t>Dickfalz</w:t>
      </w:r>
      <w:proofErr w:type="spellEnd"/>
      <w:r w:rsidRPr="00CD0357">
        <w:t>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2E500E5C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</w:t>
      </w:r>
      <w:r w:rsidR="0001022E">
        <w:t>0</w:t>
      </w:r>
      <w:r w:rsidRPr="00CD0357">
        <w:t xml:space="preserve">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1A674E7" w14:textId="77777777" w:rsidR="0001022E" w:rsidRPr="0001022E" w:rsidRDefault="0001022E" w:rsidP="0001022E">
      <w:pPr>
        <w:spacing w:after="0"/>
      </w:pPr>
      <w:r w:rsidRPr="0001022E">
        <w:t>2 St. einstellbare Bänder 3-tlg. V8026 mit Kugellager, vernickelt</w:t>
      </w:r>
    </w:p>
    <w:p w14:paraId="79DFB036" w14:textId="77777777" w:rsidR="0001022E" w:rsidRPr="0001022E" w:rsidRDefault="0001022E" w:rsidP="0001022E">
      <w:pPr>
        <w:spacing w:after="0"/>
      </w:pPr>
      <w:r w:rsidRPr="0001022E">
        <w:t xml:space="preserve">Selbstschließend mittels </w:t>
      </w:r>
      <w:proofErr w:type="spellStart"/>
      <w:r w:rsidRPr="0001022E">
        <w:t>Obentürschließer</w:t>
      </w:r>
      <w:proofErr w:type="spellEnd"/>
      <w:r w:rsidRPr="0001022E">
        <w:t xml:space="preserve"> mit Normalgestänge auf Bandseite</w:t>
      </w:r>
    </w:p>
    <w:p w14:paraId="3B5487F4" w14:textId="77777777" w:rsidR="00733CB7" w:rsidRPr="0001022E" w:rsidRDefault="00733CB7" w:rsidP="00733CB7">
      <w:pPr>
        <w:spacing w:after="0"/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272512B5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- 1164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1750 - 2132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</w:t>
      </w:r>
      <w:r w:rsidR="0001022E">
        <w:rPr>
          <w:rFonts w:eastAsia="Times New Roman" w:cs="Arial"/>
          <w:lang w:eastAsia="de-DE"/>
        </w:rPr>
        <w:t>020</w:t>
      </w:r>
      <w:r w:rsidRPr="00CD0357">
        <w:rPr>
          <w:rFonts w:eastAsia="Times New Roman" w:cs="Arial"/>
          <w:lang w:eastAsia="de-DE"/>
        </w:rPr>
        <w:t xml:space="preserve">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758D82F0" w14:textId="77777777" w:rsidR="0001022E" w:rsidRDefault="0001022E" w:rsidP="0001022E">
      <w:pPr>
        <w:spacing w:after="0"/>
        <w:rPr>
          <w:b/>
          <w:sz w:val="24"/>
          <w:szCs w:val="24"/>
        </w:rPr>
      </w:pPr>
      <w:proofErr w:type="spellStart"/>
      <w:r w:rsidRPr="004C5A87">
        <w:rPr>
          <w:b/>
          <w:sz w:val="24"/>
          <w:szCs w:val="24"/>
        </w:rPr>
        <w:t>Montagewände</w:t>
      </w:r>
      <w:proofErr w:type="spellEnd"/>
      <w:r w:rsidRPr="004C5A87">
        <w:rPr>
          <w:b/>
          <w:sz w:val="24"/>
          <w:szCs w:val="24"/>
        </w:rPr>
        <w:t xml:space="preserve"> mind. F90-A (</w:t>
      </w:r>
      <w:proofErr w:type="spellStart"/>
      <w:r w:rsidRPr="004C5A87">
        <w:rPr>
          <w:b/>
          <w:sz w:val="24"/>
          <w:szCs w:val="24"/>
        </w:rPr>
        <w:t>Metall</w:t>
      </w:r>
      <w:proofErr w:type="spellEnd"/>
      <w:r w:rsidRPr="004C5A87">
        <w:rPr>
          <w:b/>
          <w:sz w:val="24"/>
          <w:szCs w:val="24"/>
        </w:rPr>
        <w:t xml:space="preserve">) </w:t>
      </w:r>
      <w:proofErr w:type="spellStart"/>
      <w:r w:rsidRPr="004C5A87">
        <w:rPr>
          <w:b/>
          <w:sz w:val="24"/>
          <w:szCs w:val="24"/>
        </w:rPr>
        <w:t>bzw</w:t>
      </w:r>
      <w:proofErr w:type="spellEnd"/>
      <w:r w:rsidRPr="004C5A87">
        <w:rPr>
          <w:b/>
          <w:sz w:val="24"/>
          <w:szCs w:val="24"/>
        </w:rPr>
        <w:t xml:space="preserve">. mind. </w:t>
      </w:r>
      <w:r>
        <w:rPr>
          <w:b/>
          <w:sz w:val="24"/>
          <w:szCs w:val="24"/>
        </w:rPr>
        <w:t>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130 mm)</w:t>
      </w:r>
    </w:p>
    <w:p w14:paraId="50E51EBC" w14:textId="7490C453" w:rsidR="0001022E" w:rsidRDefault="0001022E" w:rsidP="0001022E">
      <w:pPr>
        <w:spacing w:after="0"/>
        <w:rPr>
          <w:b/>
          <w:sz w:val="24"/>
          <w:szCs w:val="24"/>
        </w:rPr>
      </w:pPr>
      <w:proofErr w:type="spellStart"/>
      <w:r w:rsidRPr="004C5A87">
        <w:rPr>
          <w:b/>
          <w:sz w:val="24"/>
          <w:szCs w:val="24"/>
        </w:rPr>
        <w:t>Montagewände</w:t>
      </w:r>
      <w:proofErr w:type="spellEnd"/>
      <w:r w:rsidRPr="004C5A87">
        <w:rPr>
          <w:b/>
          <w:sz w:val="24"/>
          <w:szCs w:val="24"/>
        </w:rPr>
        <w:t xml:space="preserve"> mind. F30-A </w:t>
      </w:r>
      <w:proofErr w:type="spellStart"/>
      <w:r w:rsidRPr="004C5A87">
        <w:rPr>
          <w:b/>
          <w:sz w:val="24"/>
          <w:szCs w:val="24"/>
        </w:rPr>
        <w:t>bzw</w:t>
      </w:r>
      <w:proofErr w:type="spellEnd"/>
      <w:r w:rsidRPr="004C5A87">
        <w:rPr>
          <w:b/>
          <w:sz w:val="24"/>
          <w:szCs w:val="24"/>
        </w:rPr>
        <w:t xml:space="preserve">. mind. </w:t>
      </w:r>
      <w:r>
        <w:rPr>
          <w:b/>
          <w:sz w:val="24"/>
          <w:szCs w:val="24"/>
        </w:rPr>
        <w:t xml:space="preserve">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 </w:t>
      </w:r>
    </w:p>
    <w:p w14:paraId="00D8F249" w14:textId="70C8A673" w:rsidR="0001022E" w:rsidRDefault="0001022E" w:rsidP="0001022E">
      <w:pPr>
        <w:spacing w:after="0"/>
        <w:rPr>
          <w:b/>
          <w:sz w:val="24"/>
          <w:szCs w:val="24"/>
        </w:rPr>
      </w:pPr>
      <w:proofErr w:type="spellStart"/>
      <w:r w:rsidRPr="004C5A87">
        <w:rPr>
          <w:b/>
          <w:sz w:val="24"/>
          <w:szCs w:val="24"/>
        </w:rPr>
        <w:t>Montagewände</w:t>
      </w:r>
      <w:proofErr w:type="spellEnd"/>
      <w:r w:rsidRPr="004C5A87">
        <w:rPr>
          <w:b/>
          <w:sz w:val="24"/>
          <w:szCs w:val="24"/>
        </w:rPr>
        <w:t xml:space="preserve"> mind. F30-A </w:t>
      </w:r>
      <w:proofErr w:type="spellStart"/>
      <w:r w:rsidRPr="004C5A87">
        <w:rPr>
          <w:b/>
          <w:sz w:val="24"/>
          <w:szCs w:val="24"/>
        </w:rPr>
        <w:t>bzw</w:t>
      </w:r>
      <w:proofErr w:type="spellEnd"/>
      <w:r w:rsidRPr="004C5A87">
        <w:rPr>
          <w:b/>
          <w:sz w:val="24"/>
          <w:szCs w:val="24"/>
        </w:rPr>
        <w:t xml:space="preserve">. mind. </w:t>
      </w:r>
      <w:r>
        <w:rPr>
          <w:b/>
          <w:sz w:val="24"/>
          <w:szCs w:val="24"/>
        </w:rPr>
        <w:t xml:space="preserve">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</w:t>
      </w:r>
    </w:p>
    <w:p w14:paraId="1DD381C9" w14:textId="77777777" w:rsidR="0001022E" w:rsidRDefault="0001022E" w:rsidP="000102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F30-A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Z-6.20-1880)</w:t>
      </w:r>
    </w:p>
    <w:p w14:paraId="5626B664" w14:textId="77777777" w:rsidR="0001022E" w:rsidRDefault="0001022E" w:rsidP="000102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Holzbauteile mind. 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Z-6.20-1880)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EEB760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B503C3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4D1927CF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31F903EB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20" w:type="dxa"/>
            <w:noWrap/>
            <w:hideMark/>
          </w:tcPr>
          <w:p w14:paraId="1ED2DB8A" w14:textId="6A3985EC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68683821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1720" w:type="dxa"/>
            <w:noWrap/>
            <w:hideMark/>
          </w:tcPr>
          <w:p w14:paraId="582BD948" w14:textId="3E1FA109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D7CF3E3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,9</w:t>
            </w:r>
          </w:p>
        </w:tc>
        <w:tc>
          <w:tcPr>
            <w:tcW w:w="1720" w:type="dxa"/>
            <w:noWrap/>
            <w:hideMark/>
          </w:tcPr>
          <w:p w14:paraId="298EFED5" w14:textId="294F56E6" w:rsidR="009B060F" w:rsidRPr="00615B8E" w:rsidRDefault="004C5A87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71BCBE7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01053D9E" w14:textId="2DA1112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206A2261" w:rsidR="00733CB7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22B5A554" w14:textId="77777777" w:rsidR="004C5A87" w:rsidRPr="003A6110" w:rsidRDefault="004C5A87" w:rsidP="00733CB7">
      <w:pPr>
        <w:spacing w:after="0"/>
        <w:ind w:firstLine="708"/>
      </w:pP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2B299DBD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</w:t>
      </w:r>
      <w:r w:rsidR="004C5A87">
        <w:t>6</w:t>
      </w:r>
      <w:r w:rsidRPr="003A6110">
        <w:t xml:space="preserve"> dB durch absenkbare Bodendichtung</w:t>
      </w:r>
    </w:p>
    <w:p w14:paraId="141028D9" w14:textId="2D9442EF" w:rsidR="00733CB7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=38 dB durch Schwelle mit Anschlagdichtung</w:t>
      </w:r>
    </w:p>
    <w:p w14:paraId="2BD8A63D" w14:textId="77777777" w:rsidR="004C5A87" w:rsidRPr="003A6110" w:rsidRDefault="004C5A87" w:rsidP="00733CB7">
      <w:pPr>
        <w:spacing w:after="0"/>
        <w:ind w:firstLine="708"/>
      </w:pP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2BCBD7E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7F1D8A90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29999046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5FF3CF8B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269333A5" w14:textId="6570781A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6D1C080D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</w:t>
      </w:r>
      <w:r w:rsidR="004C5A87">
        <w:t>5</w:t>
      </w:r>
      <w:r w:rsidRPr="003A6110">
        <w:t xml:space="preserve">0 mm, Sockelhöhe mind. 400 mm) </w:t>
      </w:r>
    </w:p>
    <w:p w14:paraId="1D1338ED" w14:textId="676DD72D" w:rsidR="00733CB7" w:rsidRPr="003A6110" w:rsidRDefault="00733CB7" w:rsidP="00733CB7">
      <w:pPr>
        <w:spacing w:after="0"/>
      </w:pPr>
      <w:r w:rsidRPr="003A6110">
        <w:tab/>
        <w:t>Verglasung jeweils mit F30 Klarglas, 17 mm für Inneneinsatz</w:t>
      </w:r>
      <w:r w:rsidR="003A6110"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6E9430E5" w14:textId="051169FC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7937477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7A073FD8" w14:textId="77777777" w:rsidR="004C5A87" w:rsidRDefault="004C5A87" w:rsidP="00733CB7">
      <w:pPr>
        <w:spacing w:after="0"/>
        <w:rPr>
          <w:b/>
          <w:sz w:val="24"/>
          <w:szCs w:val="24"/>
        </w:rPr>
      </w:pP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70C8" w14:textId="77777777" w:rsidR="00DD10CE" w:rsidRDefault="00DD10CE" w:rsidP="00175591">
      <w:r>
        <w:separator/>
      </w:r>
    </w:p>
  </w:endnote>
  <w:endnote w:type="continuationSeparator" w:id="0">
    <w:p w14:paraId="2AE170ED" w14:textId="77777777" w:rsidR="00DD10CE" w:rsidRDefault="00DD10CE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C590" w14:textId="77777777" w:rsidR="00DD10CE" w:rsidRDefault="00DD10CE" w:rsidP="00175591">
      <w:r>
        <w:separator/>
      </w:r>
    </w:p>
  </w:footnote>
  <w:footnote w:type="continuationSeparator" w:id="0">
    <w:p w14:paraId="0353BDEB" w14:textId="77777777" w:rsidR="00DD10CE" w:rsidRDefault="00DD10CE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3</cp:revision>
  <cp:lastPrinted>2019-12-04T07:17:00Z</cp:lastPrinted>
  <dcterms:created xsi:type="dcterms:W3CDTF">2022-07-20T09:42:00Z</dcterms:created>
  <dcterms:modified xsi:type="dcterms:W3CDTF">2022-07-20T09:45:00Z</dcterms:modified>
</cp:coreProperties>
</file>